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2B35" w14:textId="7940A08A" w:rsidR="0060721D" w:rsidRPr="006F7C06" w:rsidRDefault="002A6289">
      <w:pPr>
        <w:rPr>
          <w:b/>
          <w:bCs/>
          <w:sz w:val="32"/>
          <w:szCs w:val="32"/>
        </w:rPr>
      </w:pPr>
      <w:r>
        <w:rPr>
          <w:b/>
          <w:bCs/>
          <w:sz w:val="32"/>
          <w:szCs w:val="32"/>
        </w:rPr>
        <w:t>RFP Glossary</w:t>
      </w:r>
    </w:p>
    <w:p w14:paraId="4D742782" w14:textId="77777777" w:rsidR="00252A5F" w:rsidRDefault="0060721D">
      <w:r w:rsidRPr="00252A5F">
        <w:rPr>
          <w:b/>
          <w:bCs/>
          <w:sz w:val="24"/>
          <w:szCs w:val="24"/>
        </w:rPr>
        <w:t>Addenda</w:t>
      </w:r>
      <w:r>
        <w:t xml:space="preserve"> </w:t>
      </w:r>
    </w:p>
    <w:p w14:paraId="7D052736" w14:textId="657A647F" w:rsidR="004E3640" w:rsidRDefault="0060721D">
      <w:r>
        <w:t>Plural for addendums, means additions.</w:t>
      </w:r>
    </w:p>
    <w:p w14:paraId="7887211C" w14:textId="77777777" w:rsidR="00FF05E8" w:rsidRPr="00FF05E8" w:rsidRDefault="004E3640">
      <w:pPr>
        <w:rPr>
          <w:sz w:val="24"/>
          <w:szCs w:val="24"/>
        </w:rPr>
      </w:pPr>
      <w:r w:rsidRPr="00FF05E8">
        <w:rPr>
          <w:b/>
          <w:bCs/>
          <w:sz w:val="24"/>
          <w:szCs w:val="24"/>
        </w:rPr>
        <w:t>Cone of silence</w:t>
      </w:r>
    </w:p>
    <w:p w14:paraId="2407B92D" w14:textId="2BD257FB" w:rsidR="004E3640" w:rsidRDefault="00FF05E8">
      <w:r>
        <w:t>P</w:t>
      </w:r>
      <w:r w:rsidR="005E409D">
        <w:t xml:space="preserve">rohibits any communication regarding </w:t>
      </w:r>
      <w:r w:rsidR="00DC7997">
        <w:t>an</w:t>
      </w:r>
      <w:r w:rsidR="005E409D">
        <w:t xml:space="preserve"> RFP after it has been advertised. It is in place to protect the professional integrity of the process. Used in competitive process so that no one has an unfair advantage.</w:t>
      </w:r>
    </w:p>
    <w:p w14:paraId="49878279" w14:textId="5FDCCB0F" w:rsidR="00252A5F" w:rsidRPr="00252A5F" w:rsidRDefault="00252A5F" w:rsidP="00FF05E8">
      <w:pPr>
        <w:rPr>
          <w:b/>
          <w:bCs/>
          <w:sz w:val="24"/>
          <w:szCs w:val="24"/>
        </w:rPr>
      </w:pPr>
      <w:r w:rsidRPr="00DC7997">
        <w:rPr>
          <w:b/>
          <w:bCs/>
          <w:sz w:val="24"/>
          <w:szCs w:val="24"/>
        </w:rPr>
        <w:t>C</w:t>
      </w:r>
      <w:r w:rsidRPr="00252A5F">
        <w:rPr>
          <w:b/>
          <w:bCs/>
          <w:sz w:val="24"/>
          <w:szCs w:val="24"/>
        </w:rPr>
        <w:t>ompetitive bidding</w:t>
      </w:r>
    </w:p>
    <w:p w14:paraId="6EA526CF" w14:textId="77777777" w:rsidR="00252A5F" w:rsidRDefault="00252A5F" w:rsidP="00252A5F">
      <w:r w:rsidRPr="00252A5F">
        <w:t>A procurement method in which offers from competing suppliers are invited by open advertisement and provided with the scope, specifications, and terms and conditions of the proposed contract as well as the criteria by which the offers will be evaluated. The objectives of competitive bidding are to obtain goods or services at the lowest cost or best value through open and fair competition.</w:t>
      </w:r>
    </w:p>
    <w:p w14:paraId="70536850" w14:textId="72A11C09" w:rsidR="00252A5F" w:rsidRPr="00252A5F" w:rsidRDefault="00252A5F" w:rsidP="00252A5F">
      <w:pPr>
        <w:rPr>
          <w:b/>
          <w:bCs/>
          <w:sz w:val="24"/>
          <w:szCs w:val="24"/>
        </w:rPr>
      </w:pPr>
      <w:r>
        <w:rPr>
          <w:b/>
          <w:bCs/>
          <w:sz w:val="24"/>
          <w:szCs w:val="24"/>
        </w:rPr>
        <w:t>C</w:t>
      </w:r>
      <w:r w:rsidRPr="00252A5F">
        <w:rPr>
          <w:b/>
          <w:bCs/>
          <w:sz w:val="24"/>
          <w:szCs w:val="24"/>
        </w:rPr>
        <w:t>ontract modification</w:t>
      </w:r>
    </w:p>
    <w:p w14:paraId="28178FEE" w14:textId="3F8606EF" w:rsidR="00252A5F" w:rsidRPr="00DC7997" w:rsidRDefault="00252A5F" w:rsidP="00FF05E8">
      <w:r w:rsidRPr="00252A5F">
        <w:t>Any written change in the terms of the contract. Contract modifications only become effective when executed by both parties.</w:t>
      </w:r>
    </w:p>
    <w:p w14:paraId="62D4B135" w14:textId="40326F51" w:rsidR="00252A5F" w:rsidRPr="00252A5F" w:rsidRDefault="00252A5F" w:rsidP="00FF05E8">
      <w:pPr>
        <w:rPr>
          <w:b/>
          <w:bCs/>
          <w:sz w:val="24"/>
          <w:szCs w:val="24"/>
        </w:rPr>
      </w:pPr>
      <w:r w:rsidRPr="00FF05E8">
        <w:rPr>
          <w:b/>
          <w:bCs/>
          <w:sz w:val="24"/>
          <w:szCs w:val="24"/>
        </w:rPr>
        <w:t>I</w:t>
      </w:r>
      <w:r w:rsidRPr="00252A5F">
        <w:rPr>
          <w:b/>
          <w:bCs/>
          <w:sz w:val="24"/>
          <w:szCs w:val="24"/>
        </w:rPr>
        <w:t>nvoice</w:t>
      </w:r>
    </w:p>
    <w:p w14:paraId="740C6438" w14:textId="29E0C000" w:rsidR="00252A5F" w:rsidRPr="00252A5F" w:rsidRDefault="00252A5F" w:rsidP="00252A5F">
      <w:r w:rsidRPr="00252A5F">
        <w:t>Contractors request for paymen</w:t>
      </w:r>
      <w:r w:rsidR="000A4835">
        <w:t xml:space="preserve">t. </w:t>
      </w:r>
      <w:r w:rsidR="000A4835" w:rsidRPr="000A4835">
        <w:t> </w:t>
      </w:r>
      <w:r w:rsidR="000A4835">
        <w:t xml:space="preserve">It includes </w:t>
      </w:r>
      <w:r w:rsidR="000A4835" w:rsidRPr="000A4835">
        <w:t>the description, price or cost, and quantity of goods, property or services delivered or rendered</w:t>
      </w:r>
      <w:r w:rsidR="000A4835">
        <w:t xml:space="preserve"> </w:t>
      </w:r>
      <w:r w:rsidR="000A4835" w:rsidRPr="000A4835">
        <w:t>supported by substantiating documentation</w:t>
      </w:r>
      <w:r w:rsidR="000A4835">
        <w:t>.</w:t>
      </w:r>
    </w:p>
    <w:p w14:paraId="669477E7" w14:textId="2EDFF4F8" w:rsidR="00252A5F" w:rsidRPr="00252A5F" w:rsidRDefault="00252A5F" w:rsidP="00252A5F">
      <w:pPr>
        <w:rPr>
          <w:b/>
          <w:bCs/>
          <w:sz w:val="24"/>
          <w:szCs w:val="24"/>
        </w:rPr>
      </w:pPr>
      <w:r w:rsidRPr="00252A5F">
        <w:rPr>
          <w:b/>
          <w:bCs/>
          <w:sz w:val="24"/>
          <w:szCs w:val="24"/>
        </w:rPr>
        <w:t>Procurement</w:t>
      </w:r>
    </w:p>
    <w:p w14:paraId="68C8B561" w14:textId="268E7F6C" w:rsidR="00252A5F" w:rsidRDefault="00252A5F" w:rsidP="00252A5F">
      <w:pPr>
        <w:shd w:val="clear" w:color="auto" w:fill="FFFFFF"/>
        <w:spacing w:after="0" w:line="240" w:lineRule="auto"/>
        <w:rPr>
          <w:rFonts w:ascii="Open Sans" w:eastAsia="Times New Roman" w:hAnsi="Open Sans" w:cs="Open Sans"/>
          <w:color w:val="616161"/>
          <w:kern w:val="0"/>
          <w:sz w:val="21"/>
          <w:szCs w:val="21"/>
          <w14:ligatures w14:val="none"/>
        </w:rPr>
      </w:pPr>
      <w:r w:rsidRPr="00252A5F">
        <w:t xml:space="preserve">The acquisition </w:t>
      </w:r>
      <w:r w:rsidR="000A4835">
        <w:t xml:space="preserve">(act of obtaining) </w:t>
      </w:r>
      <w:r w:rsidRPr="00252A5F">
        <w:t xml:space="preserve">through purchase or lease of real property, </w:t>
      </w:r>
      <w:r w:rsidR="00DC7997" w:rsidRPr="00252A5F">
        <w:t>goods,</w:t>
      </w:r>
      <w:r w:rsidRPr="00252A5F">
        <w:t xml:space="preserve"> or other products (including intellectual property), works or services</w:t>
      </w:r>
      <w:r w:rsidRPr="00252A5F">
        <w:rPr>
          <w:rFonts w:ascii="Open Sans" w:eastAsia="Times New Roman" w:hAnsi="Open Sans" w:cs="Open Sans"/>
          <w:color w:val="616161"/>
          <w:kern w:val="0"/>
          <w:sz w:val="21"/>
          <w:szCs w:val="21"/>
          <w14:ligatures w14:val="none"/>
        </w:rPr>
        <w:t>.</w:t>
      </w:r>
    </w:p>
    <w:p w14:paraId="44029D9A" w14:textId="77777777" w:rsidR="00252A5F" w:rsidRDefault="00252A5F" w:rsidP="00252A5F">
      <w:pPr>
        <w:shd w:val="clear" w:color="auto" w:fill="FFFFFF"/>
        <w:spacing w:after="0" w:line="240" w:lineRule="auto"/>
        <w:rPr>
          <w:rFonts w:ascii="Open Sans" w:eastAsia="Times New Roman" w:hAnsi="Open Sans" w:cs="Open Sans"/>
          <w:color w:val="616161"/>
          <w:kern w:val="0"/>
          <w:sz w:val="21"/>
          <w:szCs w:val="21"/>
          <w14:ligatures w14:val="none"/>
        </w:rPr>
      </w:pPr>
    </w:p>
    <w:p w14:paraId="6909E381" w14:textId="012BE9C5" w:rsidR="00252A5F" w:rsidRDefault="00252A5F" w:rsidP="00252A5F">
      <w:r>
        <w:rPr>
          <w:b/>
          <w:bCs/>
          <w:sz w:val="24"/>
          <w:szCs w:val="24"/>
        </w:rPr>
        <w:t>P</w:t>
      </w:r>
      <w:r w:rsidRPr="00252A5F">
        <w:rPr>
          <w:b/>
          <w:bCs/>
          <w:sz w:val="24"/>
          <w:szCs w:val="24"/>
        </w:rPr>
        <w:t>rocurement review committee, review committees on contracts</w:t>
      </w:r>
    </w:p>
    <w:p w14:paraId="415F8595" w14:textId="4B33C4A0" w:rsidR="00252A5F" w:rsidRPr="00DC7997" w:rsidRDefault="003E0051" w:rsidP="00DC7997">
      <w:r w:rsidRPr="003E0051">
        <w:t xml:space="preserve">Committee established for the independent review of proposed contracts over certain thresholds. The review is conducted to verify that all procurement rules, </w:t>
      </w:r>
      <w:r w:rsidR="00DC7997" w:rsidRPr="003E0051">
        <w:t>policies,</w:t>
      </w:r>
      <w:r w:rsidRPr="003E0051">
        <w:t xml:space="preserve"> and procedures are met, and that the organization's interests are properly protected</w:t>
      </w:r>
      <w:r>
        <w:rPr>
          <w:rFonts w:ascii="Open Sans" w:hAnsi="Open Sans" w:cs="Open Sans"/>
          <w:color w:val="616161"/>
          <w:sz w:val="21"/>
          <w:szCs w:val="21"/>
          <w:shd w:val="clear" w:color="auto" w:fill="FFFFFF"/>
        </w:rPr>
        <w:t>. </w:t>
      </w:r>
    </w:p>
    <w:p w14:paraId="445DF2DD" w14:textId="68D21A8C" w:rsidR="003E0051" w:rsidRPr="003E0051" w:rsidRDefault="003E0051" w:rsidP="003E0051">
      <w:pPr>
        <w:rPr>
          <w:b/>
          <w:bCs/>
          <w:sz w:val="24"/>
          <w:szCs w:val="24"/>
        </w:rPr>
      </w:pPr>
      <w:r w:rsidRPr="00FF05E8">
        <w:rPr>
          <w:b/>
          <w:bCs/>
          <w:sz w:val="24"/>
          <w:szCs w:val="24"/>
        </w:rPr>
        <w:t>R</w:t>
      </w:r>
      <w:r w:rsidRPr="003E0051">
        <w:rPr>
          <w:b/>
          <w:bCs/>
          <w:sz w:val="24"/>
          <w:szCs w:val="24"/>
        </w:rPr>
        <w:t>equest for proposal</w:t>
      </w:r>
      <w:r w:rsidR="0045725A">
        <w:rPr>
          <w:b/>
          <w:bCs/>
          <w:sz w:val="24"/>
          <w:szCs w:val="24"/>
        </w:rPr>
        <w:t xml:space="preserve"> (RFP)</w:t>
      </w:r>
    </w:p>
    <w:p w14:paraId="7F3FBC9D" w14:textId="1C0B160E" w:rsidR="00DC7997" w:rsidRPr="00DC7997" w:rsidRDefault="003E0051" w:rsidP="00DC7997">
      <w:r w:rsidRPr="003E0051">
        <w:t xml:space="preserve">A formal method of solicitation where prospective </w:t>
      </w:r>
      <w:r>
        <w:t>contractors</w:t>
      </w:r>
      <w:r w:rsidRPr="003E0051">
        <w:t xml:space="preserve"> are requested to submit a proposal for the provision of works or services, based on the Specifications, Scope of Work, or Terms of Reference included in the solicitation documents. </w:t>
      </w:r>
    </w:p>
    <w:p w14:paraId="6E0FC67C" w14:textId="36B5EC8D" w:rsidR="00DC7997" w:rsidRPr="00DC7997" w:rsidRDefault="003E0051" w:rsidP="00DC7997">
      <w:pPr>
        <w:pStyle w:val="NoSpacing"/>
        <w:rPr>
          <w:b/>
          <w:bCs/>
          <w:sz w:val="24"/>
          <w:szCs w:val="24"/>
        </w:rPr>
      </w:pPr>
      <w:r w:rsidRPr="00DC7997">
        <w:rPr>
          <w:b/>
          <w:bCs/>
          <w:sz w:val="24"/>
          <w:szCs w:val="24"/>
        </w:rPr>
        <w:t>Reimbursement</w:t>
      </w:r>
      <w:r w:rsidR="00DC7997" w:rsidRPr="00DC7997">
        <w:rPr>
          <w:b/>
          <w:bCs/>
          <w:sz w:val="24"/>
          <w:szCs w:val="24"/>
        </w:rPr>
        <w:t xml:space="preserve"> </w:t>
      </w:r>
    </w:p>
    <w:p w14:paraId="7A2A860D" w14:textId="5A579C30" w:rsidR="00FF05E8" w:rsidRPr="003E0051" w:rsidRDefault="00FF05E8" w:rsidP="00DC7997">
      <w:pPr>
        <w:spacing w:line="240" w:lineRule="auto"/>
        <w:rPr>
          <w:b/>
          <w:bCs/>
          <w:sz w:val="24"/>
          <w:szCs w:val="24"/>
        </w:rPr>
      </w:pPr>
      <w:r>
        <w:t>Money spent by contractor will be reimbursed based on the agreed upon items and schedule listed in the contract.</w:t>
      </w:r>
    </w:p>
    <w:p w14:paraId="3F5DEC41" w14:textId="77777777" w:rsidR="00DC7997" w:rsidRDefault="00DC7997" w:rsidP="00252A5F">
      <w:pPr>
        <w:shd w:val="clear" w:color="auto" w:fill="FFFFFF"/>
        <w:spacing w:after="0" w:line="240" w:lineRule="auto"/>
        <w:rPr>
          <w:b/>
          <w:sz w:val="24"/>
        </w:rPr>
      </w:pPr>
    </w:p>
    <w:p w14:paraId="21EED377" w14:textId="7059C816" w:rsidR="003E0051" w:rsidRPr="00252A5F" w:rsidRDefault="00FF05E8" w:rsidP="00252A5F">
      <w:pPr>
        <w:shd w:val="clear" w:color="auto" w:fill="FFFFFF"/>
        <w:spacing w:after="0" w:line="240" w:lineRule="auto"/>
        <w:rPr>
          <w:rFonts w:ascii="Open Sans" w:eastAsia="Times New Roman" w:hAnsi="Open Sans" w:cs="Open Sans"/>
          <w:color w:val="616161"/>
          <w:kern w:val="0"/>
          <w:sz w:val="21"/>
          <w:szCs w:val="21"/>
          <w14:ligatures w14:val="none"/>
        </w:rPr>
      </w:pPr>
      <w:r>
        <w:rPr>
          <w:b/>
          <w:sz w:val="24"/>
        </w:rPr>
        <w:lastRenderedPageBreak/>
        <w:t>Responsive</w:t>
      </w:r>
    </w:p>
    <w:p w14:paraId="77D37E07" w14:textId="21B8B442" w:rsidR="00FF05E8" w:rsidRDefault="00FF05E8" w:rsidP="00FF05E8">
      <w:pPr>
        <w:rPr>
          <w:sz w:val="24"/>
        </w:rPr>
      </w:pPr>
      <w:r>
        <w:rPr>
          <w:sz w:val="24"/>
        </w:rPr>
        <w:t xml:space="preserve">Proposals that satisfactorily address all requirements speciﬁed in the RFP. </w:t>
      </w:r>
      <w:r w:rsidR="00207FE8">
        <w:rPr>
          <w:sz w:val="24"/>
        </w:rPr>
        <w:t xml:space="preserve">A </w:t>
      </w:r>
      <w:r w:rsidR="00207FE8" w:rsidRPr="00207FE8">
        <w:rPr>
          <w:b/>
          <w:bCs/>
          <w:sz w:val="24"/>
        </w:rPr>
        <w:t>nonresponsive</w:t>
      </w:r>
      <w:r>
        <w:rPr>
          <w:sz w:val="24"/>
        </w:rPr>
        <w:t xml:space="preserve"> proposal do</w:t>
      </w:r>
      <w:r w:rsidR="00207FE8">
        <w:rPr>
          <w:sz w:val="24"/>
        </w:rPr>
        <w:t>es</w:t>
      </w:r>
      <w:r>
        <w:rPr>
          <w:sz w:val="24"/>
        </w:rPr>
        <w:t xml:space="preserve"> not satisfactorily address all requirements.</w:t>
      </w:r>
      <w:r w:rsidR="0045725A">
        <w:rPr>
          <w:sz w:val="24"/>
        </w:rPr>
        <w:t xml:space="preserve"> All requirements are listed on checklist and in the minimum requirement to bid section of the RFP.</w:t>
      </w:r>
    </w:p>
    <w:p w14:paraId="7066FA25" w14:textId="77777777" w:rsidR="0045725A" w:rsidRDefault="0045725A" w:rsidP="00FF05E8">
      <w:pPr>
        <w:rPr>
          <w:sz w:val="24"/>
        </w:rPr>
      </w:pPr>
    </w:p>
    <w:p w14:paraId="095F01B8" w14:textId="77777777" w:rsidR="00252A5F" w:rsidRDefault="00252A5F"/>
    <w:sectPr w:rsidR="00252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C0729"/>
    <w:multiLevelType w:val="hybridMultilevel"/>
    <w:tmpl w:val="A2D696A2"/>
    <w:lvl w:ilvl="0" w:tplc="3EF25A7C">
      <w:start w:val="1"/>
      <w:numFmt w:val="decimal"/>
      <w:lvlText w:val="%1."/>
      <w:lvlJc w:val="left"/>
      <w:pPr>
        <w:ind w:left="975" w:hanging="360"/>
        <w:jc w:val="left"/>
      </w:pPr>
      <w:rPr>
        <w:rFonts w:ascii="Calibri" w:eastAsia="Calibri" w:hAnsi="Calibri" w:cs="Calibri" w:hint="default"/>
        <w:b w:val="0"/>
        <w:bCs w:val="0"/>
        <w:i w:val="0"/>
        <w:iCs w:val="0"/>
        <w:spacing w:val="0"/>
        <w:w w:val="100"/>
        <w:sz w:val="24"/>
        <w:szCs w:val="24"/>
        <w:lang w:val="en-US" w:eastAsia="en-US" w:bidi="ar-SA"/>
      </w:rPr>
    </w:lvl>
    <w:lvl w:ilvl="1" w:tplc="BF8A87F2">
      <w:start w:val="1"/>
      <w:numFmt w:val="lowerLetter"/>
      <w:lvlText w:val="%2."/>
      <w:lvlJc w:val="left"/>
      <w:pPr>
        <w:ind w:left="1695" w:hanging="360"/>
        <w:jc w:val="left"/>
      </w:pPr>
      <w:rPr>
        <w:rFonts w:hint="default"/>
        <w:spacing w:val="0"/>
        <w:w w:val="100"/>
        <w:lang w:val="en-US" w:eastAsia="en-US" w:bidi="ar-SA"/>
      </w:rPr>
    </w:lvl>
    <w:lvl w:ilvl="2" w:tplc="D390B880">
      <w:start w:val="1"/>
      <w:numFmt w:val="lowerRoman"/>
      <w:lvlText w:val="%3."/>
      <w:lvlJc w:val="left"/>
      <w:pPr>
        <w:ind w:left="2415" w:hanging="300"/>
        <w:jc w:val="left"/>
      </w:pPr>
      <w:rPr>
        <w:rFonts w:ascii="Calibri" w:eastAsia="Calibri" w:hAnsi="Calibri" w:cs="Calibri" w:hint="default"/>
        <w:b w:val="0"/>
        <w:bCs w:val="0"/>
        <w:i w:val="0"/>
        <w:iCs w:val="0"/>
        <w:spacing w:val="0"/>
        <w:w w:val="100"/>
        <w:sz w:val="24"/>
        <w:szCs w:val="24"/>
        <w:lang w:val="en-US" w:eastAsia="en-US" w:bidi="ar-SA"/>
      </w:rPr>
    </w:lvl>
    <w:lvl w:ilvl="3" w:tplc="87EAB8B0">
      <w:numFmt w:val="bullet"/>
      <w:lvlText w:val="•"/>
      <w:lvlJc w:val="left"/>
      <w:pPr>
        <w:ind w:left="3620" w:hanging="300"/>
      </w:pPr>
      <w:rPr>
        <w:rFonts w:hint="default"/>
        <w:lang w:val="en-US" w:eastAsia="en-US" w:bidi="ar-SA"/>
      </w:rPr>
    </w:lvl>
    <w:lvl w:ilvl="4" w:tplc="E7A8C5B0">
      <w:numFmt w:val="bullet"/>
      <w:lvlText w:val="•"/>
      <w:lvlJc w:val="left"/>
      <w:pPr>
        <w:ind w:left="4820" w:hanging="300"/>
      </w:pPr>
      <w:rPr>
        <w:rFonts w:hint="default"/>
        <w:lang w:val="en-US" w:eastAsia="en-US" w:bidi="ar-SA"/>
      </w:rPr>
    </w:lvl>
    <w:lvl w:ilvl="5" w:tplc="722A2630">
      <w:numFmt w:val="bullet"/>
      <w:lvlText w:val="•"/>
      <w:lvlJc w:val="left"/>
      <w:pPr>
        <w:ind w:left="6020" w:hanging="300"/>
      </w:pPr>
      <w:rPr>
        <w:rFonts w:hint="default"/>
        <w:lang w:val="en-US" w:eastAsia="en-US" w:bidi="ar-SA"/>
      </w:rPr>
    </w:lvl>
    <w:lvl w:ilvl="6" w:tplc="51CED6E0">
      <w:numFmt w:val="bullet"/>
      <w:lvlText w:val="•"/>
      <w:lvlJc w:val="left"/>
      <w:pPr>
        <w:ind w:left="7220" w:hanging="300"/>
      </w:pPr>
      <w:rPr>
        <w:rFonts w:hint="default"/>
        <w:lang w:val="en-US" w:eastAsia="en-US" w:bidi="ar-SA"/>
      </w:rPr>
    </w:lvl>
    <w:lvl w:ilvl="7" w:tplc="D61A452E">
      <w:numFmt w:val="bullet"/>
      <w:lvlText w:val="•"/>
      <w:lvlJc w:val="left"/>
      <w:pPr>
        <w:ind w:left="8420" w:hanging="300"/>
      </w:pPr>
      <w:rPr>
        <w:rFonts w:hint="default"/>
        <w:lang w:val="en-US" w:eastAsia="en-US" w:bidi="ar-SA"/>
      </w:rPr>
    </w:lvl>
    <w:lvl w:ilvl="8" w:tplc="5F3A9D7E">
      <w:numFmt w:val="bullet"/>
      <w:lvlText w:val="•"/>
      <w:lvlJc w:val="left"/>
      <w:pPr>
        <w:ind w:left="9620" w:hanging="300"/>
      </w:pPr>
      <w:rPr>
        <w:rFonts w:hint="default"/>
        <w:lang w:val="en-US" w:eastAsia="en-US" w:bidi="ar-SA"/>
      </w:rPr>
    </w:lvl>
  </w:abstractNum>
  <w:abstractNum w:abstractNumId="1" w15:restartNumberingAfterBreak="0">
    <w:nsid w:val="5C131397"/>
    <w:multiLevelType w:val="hybridMultilevel"/>
    <w:tmpl w:val="A2D696A2"/>
    <w:lvl w:ilvl="0" w:tplc="FFFFFFFF">
      <w:start w:val="1"/>
      <w:numFmt w:val="decimal"/>
      <w:lvlText w:val="%1."/>
      <w:lvlJc w:val="left"/>
      <w:pPr>
        <w:ind w:left="975" w:hanging="360"/>
        <w:jc w:val="left"/>
      </w:pPr>
      <w:rPr>
        <w:rFonts w:ascii="Calibri" w:eastAsia="Calibri" w:hAnsi="Calibri" w:cs="Calibri" w:hint="default"/>
        <w:b w:val="0"/>
        <w:bCs w:val="0"/>
        <w:i w:val="0"/>
        <w:iCs w:val="0"/>
        <w:spacing w:val="0"/>
        <w:w w:val="100"/>
        <w:sz w:val="24"/>
        <w:szCs w:val="24"/>
        <w:lang w:val="en-US" w:eastAsia="en-US" w:bidi="ar-SA"/>
      </w:rPr>
    </w:lvl>
    <w:lvl w:ilvl="1" w:tplc="FFFFFFFF">
      <w:start w:val="1"/>
      <w:numFmt w:val="lowerLetter"/>
      <w:lvlText w:val="%2."/>
      <w:lvlJc w:val="left"/>
      <w:pPr>
        <w:ind w:left="1695" w:hanging="360"/>
        <w:jc w:val="left"/>
      </w:pPr>
      <w:rPr>
        <w:rFonts w:hint="default"/>
        <w:spacing w:val="0"/>
        <w:w w:val="100"/>
        <w:lang w:val="en-US" w:eastAsia="en-US" w:bidi="ar-SA"/>
      </w:rPr>
    </w:lvl>
    <w:lvl w:ilvl="2" w:tplc="FFFFFFFF">
      <w:start w:val="1"/>
      <w:numFmt w:val="lowerRoman"/>
      <w:lvlText w:val="%3."/>
      <w:lvlJc w:val="left"/>
      <w:pPr>
        <w:ind w:left="2415" w:hanging="300"/>
        <w:jc w:val="left"/>
      </w:pPr>
      <w:rPr>
        <w:rFonts w:ascii="Calibri" w:eastAsia="Calibri" w:hAnsi="Calibri" w:cs="Calibri" w:hint="default"/>
        <w:b w:val="0"/>
        <w:bCs w:val="0"/>
        <w:i w:val="0"/>
        <w:iCs w:val="0"/>
        <w:spacing w:val="0"/>
        <w:w w:val="100"/>
        <w:sz w:val="24"/>
        <w:szCs w:val="24"/>
        <w:lang w:val="en-US" w:eastAsia="en-US" w:bidi="ar-SA"/>
      </w:rPr>
    </w:lvl>
    <w:lvl w:ilvl="3" w:tplc="FFFFFFFF">
      <w:numFmt w:val="bullet"/>
      <w:lvlText w:val="•"/>
      <w:lvlJc w:val="left"/>
      <w:pPr>
        <w:ind w:left="3620" w:hanging="300"/>
      </w:pPr>
      <w:rPr>
        <w:rFonts w:hint="default"/>
        <w:lang w:val="en-US" w:eastAsia="en-US" w:bidi="ar-SA"/>
      </w:rPr>
    </w:lvl>
    <w:lvl w:ilvl="4" w:tplc="FFFFFFFF">
      <w:numFmt w:val="bullet"/>
      <w:lvlText w:val="•"/>
      <w:lvlJc w:val="left"/>
      <w:pPr>
        <w:ind w:left="4820" w:hanging="300"/>
      </w:pPr>
      <w:rPr>
        <w:rFonts w:hint="default"/>
        <w:lang w:val="en-US" w:eastAsia="en-US" w:bidi="ar-SA"/>
      </w:rPr>
    </w:lvl>
    <w:lvl w:ilvl="5" w:tplc="FFFFFFFF">
      <w:numFmt w:val="bullet"/>
      <w:lvlText w:val="•"/>
      <w:lvlJc w:val="left"/>
      <w:pPr>
        <w:ind w:left="6020" w:hanging="300"/>
      </w:pPr>
      <w:rPr>
        <w:rFonts w:hint="default"/>
        <w:lang w:val="en-US" w:eastAsia="en-US" w:bidi="ar-SA"/>
      </w:rPr>
    </w:lvl>
    <w:lvl w:ilvl="6" w:tplc="FFFFFFFF">
      <w:numFmt w:val="bullet"/>
      <w:lvlText w:val="•"/>
      <w:lvlJc w:val="left"/>
      <w:pPr>
        <w:ind w:left="7220" w:hanging="300"/>
      </w:pPr>
      <w:rPr>
        <w:rFonts w:hint="default"/>
        <w:lang w:val="en-US" w:eastAsia="en-US" w:bidi="ar-SA"/>
      </w:rPr>
    </w:lvl>
    <w:lvl w:ilvl="7" w:tplc="FFFFFFFF">
      <w:numFmt w:val="bullet"/>
      <w:lvlText w:val="•"/>
      <w:lvlJc w:val="left"/>
      <w:pPr>
        <w:ind w:left="8420" w:hanging="300"/>
      </w:pPr>
      <w:rPr>
        <w:rFonts w:hint="default"/>
        <w:lang w:val="en-US" w:eastAsia="en-US" w:bidi="ar-SA"/>
      </w:rPr>
    </w:lvl>
    <w:lvl w:ilvl="8" w:tplc="FFFFFFFF">
      <w:numFmt w:val="bullet"/>
      <w:lvlText w:val="•"/>
      <w:lvlJc w:val="left"/>
      <w:pPr>
        <w:ind w:left="9620" w:hanging="300"/>
      </w:pPr>
      <w:rPr>
        <w:rFonts w:hint="default"/>
        <w:lang w:val="en-US" w:eastAsia="en-US" w:bidi="ar-SA"/>
      </w:rPr>
    </w:lvl>
  </w:abstractNum>
  <w:num w:numId="1" w16cid:durableId="1499535835">
    <w:abstractNumId w:val="0"/>
  </w:num>
  <w:num w:numId="2" w16cid:durableId="1146161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62"/>
    <w:rsid w:val="000A4835"/>
    <w:rsid w:val="00207FE8"/>
    <w:rsid w:val="00252A5F"/>
    <w:rsid w:val="002A6289"/>
    <w:rsid w:val="003E0051"/>
    <w:rsid w:val="0045725A"/>
    <w:rsid w:val="004E3640"/>
    <w:rsid w:val="005026D8"/>
    <w:rsid w:val="005E409D"/>
    <w:rsid w:val="0060721D"/>
    <w:rsid w:val="006F7C06"/>
    <w:rsid w:val="00983C62"/>
    <w:rsid w:val="00C21A9E"/>
    <w:rsid w:val="00D44BB9"/>
    <w:rsid w:val="00DC7997"/>
    <w:rsid w:val="00F57192"/>
    <w:rsid w:val="00FC1A2C"/>
    <w:rsid w:val="00FF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0E67"/>
  <w15:chartTrackingRefBased/>
  <w15:docId w15:val="{7336B9C9-9F2E-4473-ADC1-0E1EE132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52A5F"/>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721D"/>
    <w:pPr>
      <w:widowControl w:val="0"/>
      <w:autoSpaceDE w:val="0"/>
      <w:autoSpaceDN w:val="0"/>
      <w:spacing w:after="0" w:line="240" w:lineRule="auto"/>
      <w:ind w:left="1334" w:hanging="360"/>
    </w:pPr>
    <w:rPr>
      <w:rFonts w:ascii="Calibri" w:eastAsia="Calibri" w:hAnsi="Calibri" w:cs="Calibri"/>
      <w:kern w:val="0"/>
      <w14:ligatures w14:val="none"/>
    </w:rPr>
  </w:style>
  <w:style w:type="character" w:customStyle="1" w:styleId="Heading4Char">
    <w:name w:val="Heading 4 Char"/>
    <w:basedOn w:val="DefaultParagraphFont"/>
    <w:link w:val="Heading4"/>
    <w:uiPriority w:val="9"/>
    <w:rsid w:val="00252A5F"/>
    <w:rPr>
      <w:rFonts w:ascii="Times New Roman" w:eastAsia="Times New Roman" w:hAnsi="Times New Roman" w:cs="Times New Roman"/>
      <w:b/>
      <w:bCs/>
      <w:kern w:val="0"/>
      <w:sz w:val="24"/>
      <w:szCs w:val="24"/>
      <w14:ligatures w14:val="none"/>
    </w:rPr>
  </w:style>
  <w:style w:type="paragraph" w:styleId="NoSpacing">
    <w:name w:val="No Spacing"/>
    <w:uiPriority w:val="1"/>
    <w:qFormat/>
    <w:rsid w:val="00DC7997"/>
    <w:pPr>
      <w:spacing w:after="0" w:line="240" w:lineRule="auto"/>
    </w:pPr>
  </w:style>
  <w:style w:type="character" w:styleId="Strong">
    <w:name w:val="Strong"/>
    <w:basedOn w:val="DefaultParagraphFont"/>
    <w:uiPriority w:val="22"/>
    <w:qFormat/>
    <w:rsid w:val="000A4835"/>
    <w:rPr>
      <w:b/>
      <w:bCs/>
    </w:rPr>
  </w:style>
  <w:style w:type="character" w:styleId="Hyperlink">
    <w:name w:val="Hyperlink"/>
    <w:basedOn w:val="DefaultParagraphFont"/>
    <w:uiPriority w:val="99"/>
    <w:unhideWhenUsed/>
    <w:rsid w:val="000A48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66234">
      <w:bodyDiv w:val="1"/>
      <w:marLeft w:val="0"/>
      <w:marRight w:val="0"/>
      <w:marTop w:val="0"/>
      <w:marBottom w:val="0"/>
      <w:divBdr>
        <w:top w:val="none" w:sz="0" w:space="0" w:color="auto"/>
        <w:left w:val="none" w:sz="0" w:space="0" w:color="auto"/>
        <w:bottom w:val="none" w:sz="0" w:space="0" w:color="auto"/>
        <w:right w:val="none" w:sz="0" w:space="0" w:color="auto"/>
      </w:divBdr>
      <w:divsChild>
        <w:div w:id="672610832">
          <w:blockQuote w:val="1"/>
          <w:marLeft w:val="600"/>
          <w:marRight w:val="0"/>
          <w:marTop w:val="0"/>
          <w:marBottom w:val="0"/>
          <w:divBdr>
            <w:top w:val="none" w:sz="0" w:space="0" w:color="auto"/>
            <w:left w:val="none" w:sz="0" w:space="0" w:color="auto"/>
            <w:bottom w:val="none" w:sz="0" w:space="0" w:color="auto"/>
            <w:right w:val="none" w:sz="0" w:space="0" w:color="auto"/>
          </w:divBdr>
          <w:divsChild>
            <w:div w:id="13761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52355">
      <w:bodyDiv w:val="1"/>
      <w:marLeft w:val="0"/>
      <w:marRight w:val="0"/>
      <w:marTop w:val="0"/>
      <w:marBottom w:val="0"/>
      <w:divBdr>
        <w:top w:val="none" w:sz="0" w:space="0" w:color="auto"/>
        <w:left w:val="none" w:sz="0" w:space="0" w:color="auto"/>
        <w:bottom w:val="none" w:sz="0" w:space="0" w:color="auto"/>
        <w:right w:val="none" w:sz="0" w:space="0" w:color="auto"/>
      </w:divBdr>
      <w:divsChild>
        <w:div w:id="798911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0423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194">
      <w:bodyDiv w:val="1"/>
      <w:marLeft w:val="0"/>
      <w:marRight w:val="0"/>
      <w:marTop w:val="0"/>
      <w:marBottom w:val="0"/>
      <w:divBdr>
        <w:top w:val="none" w:sz="0" w:space="0" w:color="auto"/>
        <w:left w:val="none" w:sz="0" w:space="0" w:color="auto"/>
        <w:bottom w:val="none" w:sz="0" w:space="0" w:color="auto"/>
        <w:right w:val="none" w:sz="0" w:space="0" w:color="auto"/>
      </w:divBdr>
    </w:div>
    <w:div w:id="1498810361">
      <w:bodyDiv w:val="1"/>
      <w:marLeft w:val="0"/>
      <w:marRight w:val="0"/>
      <w:marTop w:val="0"/>
      <w:marBottom w:val="0"/>
      <w:divBdr>
        <w:top w:val="none" w:sz="0" w:space="0" w:color="auto"/>
        <w:left w:val="none" w:sz="0" w:space="0" w:color="auto"/>
        <w:bottom w:val="none" w:sz="0" w:space="0" w:color="auto"/>
        <w:right w:val="none" w:sz="0" w:space="0" w:color="auto"/>
      </w:divBdr>
      <w:divsChild>
        <w:div w:id="1343780244">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1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28480">
      <w:bodyDiv w:val="1"/>
      <w:marLeft w:val="0"/>
      <w:marRight w:val="0"/>
      <w:marTop w:val="0"/>
      <w:marBottom w:val="0"/>
      <w:divBdr>
        <w:top w:val="none" w:sz="0" w:space="0" w:color="auto"/>
        <w:left w:val="none" w:sz="0" w:space="0" w:color="auto"/>
        <w:bottom w:val="none" w:sz="0" w:space="0" w:color="auto"/>
        <w:right w:val="none" w:sz="0" w:space="0" w:color="auto"/>
      </w:divBdr>
      <w:divsChild>
        <w:div w:id="19532429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29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2812">
      <w:bodyDiv w:val="1"/>
      <w:marLeft w:val="0"/>
      <w:marRight w:val="0"/>
      <w:marTop w:val="0"/>
      <w:marBottom w:val="0"/>
      <w:divBdr>
        <w:top w:val="none" w:sz="0" w:space="0" w:color="auto"/>
        <w:left w:val="none" w:sz="0" w:space="0" w:color="auto"/>
        <w:bottom w:val="none" w:sz="0" w:space="0" w:color="auto"/>
        <w:right w:val="none" w:sz="0" w:space="0" w:color="auto"/>
      </w:divBdr>
      <w:divsChild>
        <w:div w:id="298456802">
          <w:blockQuote w:val="1"/>
          <w:marLeft w:val="600"/>
          <w:marRight w:val="0"/>
          <w:marTop w:val="0"/>
          <w:marBottom w:val="0"/>
          <w:divBdr>
            <w:top w:val="none" w:sz="0" w:space="0" w:color="auto"/>
            <w:left w:val="none" w:sz="0" w:space="0" w:color="auto"/>
            <w:bottom w:val="none" w:sz="0" w:space="0" w:color="auto"/>
            <w:right w:val="none" w:sz="0" w:space="0" w:color="auto"/>
          </w:divBdr>
          <w:divsChild>
            <w:div w:id="367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Demetrica Tyson</dc:creator>
  <cp:keywords/>
  <dc:description/>
  <cp:lastModifiedBy>Kristy Goldwire</cp:lastModifiedBy>
  <cp:revision>3</cp:revision>
  <dcterms:created xsi:type="dcterms:W3CDTF">2023-07-12T14:28:00Z</dcterms:created>
  <dcterms:modified xsi:type="dcterms:W3CDTF">2023-07-13T15:12:00Z</dcterms:modified>
</cp:coreProperties>
</file>